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FD770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ул. </w:t>
            </w:r>
            <w:proofErr w:type="spellStart"/>
            <w:r w:rsidR="00DC7B1F">
              <w:rPr>
                <w:rFonts w:ascii="Tahoma" w:hAnsi="Tahoma" w:cs="Tahoma"/>
                <w:b/>
                <w:bCs/>
                <w:sz w:val="52"/>
                <w:szCs w:val="52"/>
              </w:rPr>
              <w:t>Рокчинского</w:t>
            </w:r>
            <w:proofErr w:type="spellEnd"/>
            <w:r w:rsidR="00DC7B1F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, д. </w:t>
            </w:r>
            <w:r w:rsidR="00211441">
              <w:rPr>
                <w:rFonts w:ascii="Tahoma" w:hAnsi="Tahoma" w:cs="Tahoma"/>
                <w:b/>
                <w:bCs/>
                <w:sz w:val="52"/>
                <w:szCs w:val="52"/>
              </w:rPr>
              <w:t>19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07"/>
        <w:gridCol w:w="5159"/>
        <w:gridCol w:w="1161"/>
        <w:gridCol w:w="1068"/>
        <w:gridCol w:w="172"/>
        <w:gridCol w:w="1210"/>
      </w:tblGrid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A0373" w:rsidRPr="00EA0373" w:rsidTr="00EA0373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</w:tc>
      </w:tr>
      <w:tr w:rsidR="00EA0373" w:rsidRPr="00EA0373" w:rsidTr="00EA0373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д. 19</w:t>
            </w:r>
          </w:p>
        </w:tc>
      </w:tr>
      <w:tr w:rsidR="00EA0373" w:rsidRPr="00EA0373" w:rsidTr="00EA0373">
        <w:trPr>
          <w:trHeight w:val="255"/>
        </w:trPr>
        <w:tc>
          <w:tcPr>
            <w:tcW w:w="9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A0373" w:rsidRPr="00EA0373" w:rsidTr="00EA0373">
        <w:trPr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037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A0373" w:rsidRPr="00EA0373" w:rsidTr="00EA0373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3 594,17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593 286,90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588 875,90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EA0373" w:rsidRPr="00EA0373" w:rsidTr="00EA0373">
        <w:trPr>
          <w:trHeight w:val="10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646 044,20</w:t>
            </w:r>
          </w:p>
        </w:tc>
      </w:tr>
      <w:tr w:rsidR="00EA0373" w:rsidRPr="00EA0373" w:rsidTr="00EA0373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97 928,43</w:t>
            </w:r>
          </w:p>
        </w:tc>
      </w:tr>
      <w:tr w:rsidR="00EA0373" w:rsidRPr="00EA0373" w:rsidTr="00EA0373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126 249,06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336 424,56</w:t>
            </w:r>
          </w:p>
        </w:tc>
      </w:tr>
      <w:tr w:rsidR="00EA0373" w:rsidRPr="00EA0373" w:rsidTr="00EA0373">
        <w:trPr>
          <w:trHeight w:val="5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водопровода, ревизия и ремонт запорной арматуры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4 228,00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и прочистке водоотведения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13 018,05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подъезда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195 000,00</w:t>
            </w:r>
          </w:p>
        </w:tc>
      </w:tr>
      <w:tr w:rsidR="00EA0373" w:rsidRPr="00EA0373" w:rsidTr="00EA0373">
        <w:trPr>
          <w:trHeight w:val="76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(устройство ограждений, мусорных контейнеров, палисадника, закрытие подвальных окон, ремонт крыльца, покраска малых форм)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9 982,53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счетчиков воды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color w:val="000000"/>
                <w:sz w:val="18"/>
                <w:szCs w:val="18"/>
              </w:rPr>
              <w:t xml:space="preserve">шт.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9 567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A0373">
              <w:rPr>
                <w:rFonts w:ascii="Tahoma" w:hAnsi="Tahoma" w:cs="Tahoma"/>
                <w:sz w:val="20"/>
                <w:szCs w:val="20"/>
              </w:rPr>
              <w:t>104 628,98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76 553,87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</w:t>
            </w:r>
            <w:proofErr w:type="spellStart"/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приборов учета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66,28</w:t>
            </w:r>
          </w:p>
        </w:tc>
      </w:tr>
      <w:tr w:rsidR="00EA0373" w:rsidRPr="00EA0373" w:rsidTr="00EA0373">
        <w:trPr>
          <w:trHeight w:val="4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</w:t>
            </w:r>
            <w:proofErr w:type="spellStart"/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счетчика электрической энергии в 2012 г.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8 822,00</w:t>
            </w:r>
          </w:p>
        </w:tc>
      </w:tr>
      <w:tr w:rsidR="00EA0373" w:rsidRPr="00EA0373" w:rsidTr="00EA0373">
        <w:trPr>
          <w:trHeight w:val="2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-49 163,13</w:t>
            </w:r>
          </w:p>
        </w:tc>
      </w:tr>
    </w:tbl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5290" w:type="dxa"/>
        <w:tblInd w:w="93" w:type="dxa"/>
        <w:tblLayout w:type="fixed"/>
        <w:tblLook w:val="04A0"/>
      </w:tblPr>
      <w:tblGrid>
        <w:gridCol w:w="585"/>
        <w:gridCol w:w="1365"/>
        <w:gridCol w:w="468"/>
        <w:gridCol w:w="776"/>
        <w:gridCol w:w="394"/>
        <w:gridCol w:w="593"/>
        <w:gridCol w:w="577"/>
        <w:gridCol w:w="785"/>
        <w:gridCol w:w="385"/>
        <w:gridCol w:w="608"/>
        <w:gridCol w:w="562"/>
        <w:gridCol w:w="855"/>
        <w:gridCol w:w="315"/>
        <w:gridCol w:w="1103"/>
        <w:gridCol w:w="68"/>
        <w:gridCol w:w="924"/>
        <w:gridCol w:w="246"/>
        <w:gridCol w:w="1170"/>
        <w:gridCol w:w="1170"/>
        <w:gridCol w:w="1170"/>
        <w:gridCol w:w="1171"/>
      </w:tblGrid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A0373" w:rsidRPr="00EA0373" w:rsidTr="00EA0373">
        <w:trPr>
          <w:trHeight w:val="224"/>
        </w:trPr>
        <w:tc>
          <w:tcPr>
            <w:tcW w:w="15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EA0373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EA037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EA0373" w:rsidRPr="00EA0373" w:rsidTr="00EA0373">
        <w:trPr>
          <w:trHeight w:val="224"/>
        </w:trPr>
        <w:tc>
          <w:tcPr>
            <w:tcW w:w="15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EA0373" w:rsidRPr="00EA0373" w:rsidTr="00EA0373">
        <w:trPr>
          <w:trHeight w:val="224"/>
        </w:trPr>
        <w:tc>
          <w:tcPr>
            <w:tcW w:w="15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EA0373">
              <w:rPr>
                <w:rFonts w:ascii="Tahoma" w:hAnsi="Tahoma" w:cs="Tahoma"/>
                <w:b/>
                <w:bCs/>
                <w:sz w:val="16"/>
                <w:szCs w:val="16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b/>
                <w:bCs/>
                <w:sz w:val="16"/>
                <w:szCs w:val="16"/>
              </w:rPr>
              <w:t>, д. 19</w:t>
            </w: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EA0373" w:rsidRPr="00EA0373" w:rsidTr="00EA0373">
        <w:trPr>
          <w:trHeight w:val="2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A0373" w:rsidRPr="00EA0373" w:rsidTr="00EA0373">
        <w:trPr>
          <w:trHeight w:val="41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105 692,67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24,89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626 957,10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2 054,50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629 011,60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669 859,03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669 883,61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106,50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64 820,66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0,31</w:t>
            </w: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33 476,72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2 375,40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300 222,25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-752,81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299 469,44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291 066,25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88,05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293 441,65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97,99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39 504,51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5 479,65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22,14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34 429,49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-204,39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34 225,10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35 713,64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35 735,78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3 968,97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10 316,16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82 711,87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-1 030,03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81 681,84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80 570,76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87,65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80 647,36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98,73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11 350,64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101 127,41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3 152,73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542 366,90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-976,45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541 390,45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557 684,01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87,22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560 793,25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103,58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81 724,61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43,49</w:t>
            </w:r>
          </w:p>
        </w:tc>
      </w:tr>
      <w:tr w:rsidR="00EA0373" w:rsidRPr="00EA0373" w:rsidTr="00EA0373">
        <w:trPr>
          <w:trHeight w:val="20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2 400,75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14 703,52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-89,16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14 614,36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15 374,52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90,41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15 384,22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105,27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1 630,89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A0373" w:rsidRPr="00EA0373" w:rsidTr="00EA0373">
        <w:trPr>
          <w:trHeight w:val="209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258 493,36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5 661,46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1 601 391,13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-998,34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1 600 392,79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1 650 268,21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1 655 885,87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103,47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203 000,28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43,80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12"/>
        <w:gridCol w:w="3177"/>
        <w:gridCol w:w="1494"/>
      </w:tblGrid>
      <w:tr w:rsidR="00EA0373" w:rsidRPr="00EA0373" w:rsidTr="00EA0373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EA0373" w:rsidRPr="00EA0373" w:rsidTr="00EA0373">
        <w:trPr>
          <w:trHeight w:val="10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EA0373" w:rsidRPr="00EA0373" w:rsidTr="00EA0373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0801020706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Босхомджиева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Лидия Владимировна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, д. 19, кв. 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7 506,44</w:t>
            </w:r>
          </w:p>
        </w:tc>
      </w:tr>
      <w:tr w:rsidR="00EA0373" w:rsidRPr="00EA0373" w:rsidTr="00EA037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0801021286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Эвиева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, д. 19, кв. 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9 676,20</w:t>
            </w:r>
          </w:p>
        </w:tc>
      </w:tr>
      <w:tr w:rsidR="00EA0373" w:rsidRPr="00EA0373" w:rsidTr="00EA0373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0801002578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Очиров 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Эрдни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Васильевич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, д. 19, кв. 59 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6 695,12</w:t>
            </w:r>
          </w:p>
        </w:tc>
      </w:tr>
      <w:tr w:rsidR="00EA0373" w:rsidRPr="00EA0373" w:rsidTr="00EA037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0801020701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Ностаева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Байр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Георгиевна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, д. 19, кв. 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3 236,78</w:t>
            </w:r>
          </w:p>
        </w:tc>
      </w:tr>
      <w:tr w:rsidR="00EA0373" w:rsidRPr="00EA0373" w:rsidTr="00EA037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0801022465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Бюрчиев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Василий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Оконович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, д. 19, кв. 73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9 504,46</w:t>
            </w:r>
          </w:p>
        </w:tc>
      </w:tr>
      <w:tr w:rsidR="00EA0373" w:rsidRPr="00EA0373" w:rsidTr="00EA0373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0801022354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Нижиндаева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Кемя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Эдгяевна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Рокчинского</w:t>
            </w:r>
            <w:proofErr w:type="spellEnd"/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, д. 19, кв. 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color w:val="000000"/>
                <w:sz w:val="20"/>
                <w:szCs w:val="20"/>
              </w:rPr>
              <w:t>7 649,25</w:t>
            </w:r>
          </w:p>
        </w:tc>
      </w:tr>
      <w:tr w:rsidR="00EA0373" w:rsidRPr="00EA0373" w:rsidTr="00EA0373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373" w:rsidRPr="00EA0373" w:rsidRDefault="00EA0373" w:rsidP="00EA0373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037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44 268,25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211441"/>
    <w:rsid w:val="002A4CB6"/>
    <w:rsid w:val="004A3315"/>
    <w:rsid w:val="0066095B"/>
    <w:rsid w:val="00887C87"/>
    <w:rsid w:val="00BA20D9"/>
    <w:rsid w:val="00DC7B1F"/>
    <w:rsid w:val="00E7378B"/>
    <w:rsid w:val="00E8783A"/>
    <w:rsid w:val="00EA0373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7</cp:revision>
  <dcterms:created xsi:type="dcterms:W3CDTF">2013-04-05T05:42:00Z</dcterms:created>
  <dcterms:modified xsi:type="dcterms:W3CDTF">2013-04-05T07:29:00Z</dcterms:modified>
</cp:coreProperties>
</file>